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中交广州航道局有限公司2023届</w:t>
      </w:r>
    </w:p>
    <w:p>
      <w:pPr>
        <w:pStyle w:val="2"/>
        <w:spacing w:line="560" w:lineRule="exact"/>
        <w:ind w:left="0"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校园招聘简章</w:t>
      </w:r>
    </w:p>
    <w:p>
      <w:pPr>
        <w:pStyle w:val="2"/>
        <w:ind w:left="0" w:firstLine="0"/>
        <w:jc w:val="center"/>
        <w:rPr>
          <w:b/>
          <w:bCs/>
          <w:sz w:val="20"/>
          <w:szCs w:val="22"/>
          <w:highlight w:val="none"/>
        </w:rPr>
      </w:pPr>
    </w:p>
    <w:p>
      <w:pPr>
        <w:pStyle w:val="2"/>
        <w:ind w:left="0" w:firstLine="0"/>
        <w:jc w:val="center"/>
        <w:rPr>
          <w:b/>
          <w:bCs/>
          <w:sz w:val="20"/>
          <w:szCs w:val="22"/>
          <w:highlight w:val="none"/>
        </w:rPr>
      </w:pPr>
    </w:p>
    <w:p>
      <w:pPr>
        <w:pStyle w:val="2"/>
        <w:adjustRightInd w:val="0"/>
        <w:snapToGrid w:val="0"/>
        <w:spacing w:line="560" w:lineRule="exact"/>
        <w:ind w:left="0" w:firstLine="0"/>
        <w:jc w:val="center"/>
        <w:rPr>
          <w:rFonts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关于我们</w:t>
      </w:r>
    </w:p>
    <w:p>
      <w:pPr>
        <w:pStyle w:val="7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中交广州航道局有限公司（以下简称“广航局”）由创建于1954年的广州区疏浚队发展而来，隶属于世界500强企业中国交通建设股份有限公司（排名第60位）。广航局以“两核两争”为业务发展思路，开展港航疏浚、生态城市治理两大核心业务，海洋业务、资产运营两个重点发展业务。广航局具有国家港口与航道施工总承包特级、市政公用工程施工总承包一级、建筑工程施工总承包一级、地基与基础工程专业承包一级、环保工程专业承包一级、工程设计水运行业甲级、勘察设计和测绘甲级等资质，2016年通过国家高新技术企业认定。</w:t>
      </w:r>
    </w:p>
    <w:p>
      <w:pPr>
        <w:pStyle w:val="7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在近70年的发展历程中，广航局的建设足迹遍布国内、港澳、亚太、中东、非洲等各个国家和地区。参建了被誉为“现代世界七大奇迹”之一的港珠澳大桥，在大桥岛隧工程建设中发挥了不可替代的重要作用。参建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澳门国际机场跑道区人工岛填筑工程、沙特扎瓦尔疏浚吹填工程、深中通道工程、汕头东海岸新城吹填工程、斯里兰卡科伦坡金融城填海造地工程以及广州港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、盐田港、湛江港、厦门港、天津港、舟山港、连云港港、营口港、锦州港等各大港口的港池航道扩建、围海造地和基础设施工程，均以国际化的施工管理、先进的技术和良好的质量获得各界的高度评价。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拥有一支门类齐全、标准化系列化、质量性能优越、作业效率出色的疏浚船队，拥有亚洲最大、世界领先的耙吸式挖泥船“浚洋1”、世界最大的抓斗式挖泥船之一“金广”等疏浚船舶30余艘，挖泥船年标准疏浚能力1.76亿立方米。</w:t>
      </w:r>
    </w:p>
    <w:p>
      <w:pPr>
        <w:pStyle w:val="7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广航局始终坚持“交融天下，建者无疆”的企业精神，依托设备、技术、人才、资金、管理等优势，精心服务客户，履行社会责任，坚守企业诚信，在国内外市场上赢得了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良好声誉。多次荣获“全国五一劳动奖状”“全国优秀施工企业”“全国水运建设行业优秀施工企业”“广东省文明单位”“全国预算管理工作先进单位”“中国工程建设诚信典型企业”“全国建筑业诚信企业”等称号，获评金融信用等级AAA级企业、工程建设行业社会信用AAA级企业，多个工程项目荣获“中国土木工程詹天佑奖”“国家优质工程奖”，多个QC小组获评国家级优秀QC小组等荣誉。</w:t>
      </w:r>
    </w:p>
    <w:p>
      <w:pPr>
        <w:pStyle w:val="7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</w:rPr>
        <w:t>进入新阶段、迈上新征程，广航局坚持“逐水扬楫、进城图强”的发展理念，锚定建设“世界一流水运工程承包商和国内知名生态城市治理商”的中长期战略目标和“五年再造一个广航”的“十四五”规划目标，形成“两核两争”的业务发展思路，坚定不移做强做优做大，加快建设党建引力领强、创新驱动力强、价值创造力强，结构优、管理优、质量优的“三强三优”新广航，奋力谱写新时期建设“三型”世界一流企业的广航新篇章。</w:t>
      </w:r>
    </w:p>
    <w:p>
      <w:pPr>
        <w:spacing w:line="560" w:lineRule="exact"/>
        <w:rPr>
          <w:rFonts w:ascii="黑体" w:hAnsi="黑体" w:eastAsia="黑体" w:cs="仿宋_GB2312"/>
          <w:b/>
          <w:sz w:val="32"/>
          <w:szCs w:val="32"/>
          <w:highlight w:val="none"/>
        </w:rPr>
      </w:pPr>
      <w:r>
        <w:rPr>
          <w:rFonts w:ascii="黑体" w:hAnsi="黑体" w:eastAsia="黑体" w:cs="仿宋_GB2312"/>
          <w:b/>
          <w:sz w:val="32"/>
          <w:szCs w:val="32"/>
          <w:highlight w:val="none"/>
        </w:rPr>
        <w:br w:type="page"/>
      </w:r>
    </w:p>
    <w:p>
      <w:pPr>
        <w:pStyle w:val="2"/>
        <w:adjustRightInd w:val="0"/>
        <w:snapToGrid w:val="0"/>
        <w:spacing w:line="560" w:lineRule="exact"/>
        <w:ind w:left="0" w:firstLine="0"/>
        <w:jc w:val="center"/>
        <w:rPr>
          <w:rFonts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司属单位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中交广航疏浚有限公司                     广东省广州市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中交华南交通建设有限公司                 广东省广州市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中交广航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局第三工程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有限公司               广东省佛山市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中交广航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局第四工程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有限公司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天津、山东省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中交广航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局第五工程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有限公司                   重庆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中交广航（福建）交通建设有限公司         福建省福州市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中交广州水运工程设计研究院有限公司       广东省广州市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中交华南勘察测绘科技有限公司             广东省广州市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广州中交物流有限公司                     广东省广州市</w:t>
      </w:r>
    </w:p>
    <w:p>
      <w:pPr>
        <w:pStyle w:val="2"/>
        <w:adjustRightInd w:val="0"/>
        <w:snapToGrid w:val="0"/>
        <w:spacing w:line="560" w:lineRule="exact"/>
        <w:ind w:left="0" w:firstLine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广州航道技工学校                         广东省广州市</w:t>
      </w:r>
    </w:p>
    <w:p>
      <w:pPr>
        <w:pStyle w:val="2"/>
        <w:adjustRightInd w:val="0"/>
        <w:snapToGrid w:val="0"/>
        <w:spacing w:line="560" w:lineRule="exact"/>
        <w:ind w:left="0" w:firstLine="0"/>
        <w:jc w:val="center"/>
        <w:rPr>
          <w:rFonts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薪酬福利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仿宋_GB2312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（一）薪酬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薪资结构：基础工资+职级工资+岗位工资+绩效工资+各类津补贴+嘉奖+七险二金。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首年国内年收入：本科10-13万元及以上；硕士13-15万元及以上；海外员工收入为国内同等岗位的1.7-2.4倍；每年增长5%-10%；硕士可优先申请设计院岗位，业绩优秀员工经3-5年成长为项目班子，年薪可达40万元以上。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证书津贴：员工取得职称证书、职（执）业资格证书、适任证书提供月度证书津贴，不同类别证书津贴可叠加；在职期间考试通过相关证书并注册成功，提供一次性奖励。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仿宋_GB2312"/>
          <w:b/>
          <w:bCs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仿宋_GB2312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（二）福利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提供衣食住行等全方位的福利保障措施。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衣：劳动保护用品、工作服、运动服等；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食：免费工作餐；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住：提供职工宿舍或租房补贴；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行：项目部、船舶公休报销休假路费；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节日福利：节日慰问（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春节、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端午、中秋、国庆等）、送清凉、送温暖等福利；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其他：通讯补贴、交通补贴、高温补贴、入户广州、人身意外险、年度健康体检、职工疗休养等。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仿宋_GB2312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（三）休假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1.项目部、船舶员工：原则上工作3个月休假1个月；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2.本部部门按照标准工时制休假，周末双休；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3.其他法定假期按国家规定执行；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4.项目部公休期间工资照常发放。</w:t>
      </w:r>
    </w:p>
    <w:p>
      <w:pPr>
        <w:pStyle w:val="2"/>
        <w:rPr>
          <w:highlight w:val="none"/>
        </w:rPr>
      </w:pPr>
    </w:p>
    <w:p>
      <w:pPr>
        <w:pStyle w:val="2"/>
        <w:adjustRightInd w:val="0"/>
        <w:snapToGrid w:val="0"/>
        <w:spacing w:line="560" w:lineRule="exact"/>
        <w:ind w:left="0" w:firstLine="0"/>
        <w:jc w:val="center"/>
        <w:rPr>
          <w:rFonts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职业发展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1.拥有健全的管理序列、技术序列、项目序列、船舶序列职业发展通道，职业晋升前景广阔；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2.提供各类岗位的理论培训、能力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、职业资格培训等多专业、多岗位、多层次的职业培训机会，助力员工成长成才；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3.制定新入职毕业生“师带徒”培养计划、岗位晋升规划，引导员工快速融入企业，谋划长远发展。</w:t>
      </w:r>
    </w:p>
    <w:p>
      <w:pPr>
        <w:pStyle w:val="2"/>
        <w:adjustRightInd w:val="0"/>
        <w:snapToGrid w:val="0"/>
        <w:spacing w:line="560" w:lineRule="exact"/>
        <w:ind w:left="0" w:firstLine="0"/>
        <w:jc w:val="center"/>
        <w:rPr>
          <w:rFonts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招聘需求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仿宋_GB2312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（一）</w:t>
      </w: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需求专业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1.土木工程类：土木工程、建筑工程、岩土工程、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市政道桥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等相关专业；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2.港航工程类：港口航道与海岸工程等相关专业；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3.船舶管理类：航海技术、轮机工程、船舶电子电气等相关专业；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4.水利水电类：给排水科学与工程、水利水电工程、水文与水资源等相关专业；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5.勘察测量类：地质学、测绘工程、地理信息科学等相关专业；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6.工程管理类：工程管理、工程造价、机械工程、机械设计制造及其自动化、材料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等相关专业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7.安全管理类：安全工程、海事管理等相关专业；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8.企业管理类：汉语言文学、新闻传播、会计学、人力资源管理、工商管理、物流管理、法学等相关专业。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仿宋_GB2312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</w:rPr>
        <w:t>（二）招聘条件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1.2023届毕业生，全日制本科及以上学历，取得相应学位；</w:t>
      </w:r>
    </w:p>
    <w:p>
      <w:pPr>
        <w:pStyle w:val="2"/>
        <w:adjustRightInd w:val="0"/>
        <w:snapToGrid w:val="0"/>
        <w:spacing w:line="560" w:lineRule="exact"/>
        <w:ind w:left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2.具有较高的综合素质，中共党员、学生干部优先考虑；</w:t>
      </w:r>
    </w:p>
    <w:p>
      <w:pPr>
        <w:pStyle w:val="2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3.身体健康，具有较强的适应能力与学习能力，较强的团队合作意识和沟通协调能力。             </w:t>
      </w:r>
    </w:p>
    <w:p>
      <w:pPr>
        <w:pStyle w:val="2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spacing w:line="460" w:lineRule="exact"/>
        <w:ind w:left="0" w:firstLine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pStyle w:val="2"/>
        <w:spacing w:line="460" w:lineRule="exact"/>
        <w:ind w:left="0" w:firstLine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  <w:highlight w:val="none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  <w:highlight w:val="none"/>
        </w:rPr>
        <w:t>网申二维码</w:t>
      </w:r>
    </w:p>
    <w:p>
      <w:pPr>
        <w:pStyle w:val="2"/>
        <w:spacing w:line="460" w:lineRule="exact"/>
        <w:ind w:left="0" w:firstLine="0"/>
        <w:jc w:val="center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pStyle w:val="2"/>
        <w:ind w:left="0" w:firstLine="0"/>
        <w:jc w:val="center"/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drawing>
          <wp:inline distT="0" distB="0" distL="114300" distR="114300">
            <wp:extent cx="1591945" cy="1607185"/>
            <wp:effectExtent l="0" t="0" r="8255" b="5715"/>
            <wp:docPr id="1" name="图片 1" descr="中交广州航道局2023届校园招聘推广二维码-北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交广州航道局2023届校园招聘推广二维码-北森"/>
                    <pic:cNvPicPr>
                      <a:picLocks noChangeAspect="1"/>
                    </pic:cNvPicPr>
                  </pic:nvPicPr>
                  <pic:blipFill>
                    <a:blip r:embed="rId5"/>
                    <a:srcRect l="7639" t="7603" r="7712" b="6948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firstLine="0"/>
        <w:jc w:val="center"/>
        <w:rPr>
          <w:rFonts w:hint="eastAsia" w:ascii="黑体" w:hAnsi="黑体" w:eastAsia="黑体" w:cs="仿宋_GB2312"/>
          <w:sz w:val="32"/>
          <w:szCs w:val="32"/>
          <w:highlight w:val="none"/>
        </w:rPr>
      </w:pPr>
    </w:p>
    <w:p>
      <w:pPr>
        <w:pStyle w:val="2"/>
        <w:spacing w:line="480" w:lineRule="exact"/>
        <w:ind w:left="0" w:firstLine="0"/>
        <w:jc w:val="center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 xml:space="preserve">                  </w:t>
      </w:r>
    </w:p>
    <w:p>
      <w:pPr>
        <w:pStyle w:val="2"/>
        <w:spacing w:line="480" w:lineRule="exact"/>
        <w:ind w:left="0" w:firstLine="0"/>
        <w:jc w:val="center"/>
        <w:rPr>
          <w:rFonts w:hint="eastAsia" w:ascii="方正小标宋简体" w:hAnsi="黑体" w:eastAsia="方正小标宋简体" w:cs="仿宋_GB2312"/>
          <w:bCs/>
          <w:sz w:val="44"/>
          <w:szCs w:val="44"/>
          <w:highlight w:val="none"/>
        </w:rPr>
      </w:pPr>
    </w:p>
    <w:p>
      <w:pPr>
        <w:pStyle w:val="2"/>
        <w:adjustRightInd w:val="0"/>
        <w:snapToGrid w:val="0"/>
        <w:spacing w:line="800" w:lineRule="exact"/>
        <w:ind w:left="0" w:firstLine="0"/>
        <w:jc w:val="center"/>
        <w:rPr>
          <w:rFonts w:hint="eastAsia" w:ascii="方正小标宋简体" w:hAnsi="黑体" w:eastAsia="方正小标宋简体" w:cs="仿宋_GB2312"/>
          <w:bCs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仿宋_GB2312"/>
          <w:bCs/>
          <w:sz w:val="44"/>
          <w:szCs w:val="44"/>
          <w:highlight w:val="none"/>
        </w:rPr>
        <w:t>联系方式</w:t>
      </w:r>
    </w:p>
    <w:p>
      <w:pPr>
        <w:pStyle w:val="2"/>
        <w:adjustRightInd w:val="0"/>
        <w:snapToGrid w:val="0"/>
        <w:spacing w:line="800" w:lineRule="exact"/>
        <w:ind w:left="0" w:firstLine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杨女士   020-66355296</w:t>
      </w:r>
    </w:p>
    <w:p>
      <w:pPr>
        <w:pStyle w:val="2"/>
        <w:adjustRightInd w:val="0"/>
        <w:snapToGrid w:val="0"/>
        <w:spacing w:line="800" w:lineRule="exact"/>
        <w:ind w:left="0" w:firstLine="0"/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先生   020-66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231935</w:t>
      </w:r>
      <w:bookmarkStart w:id="0" w:name="_GoBack"/>
      <w:bookmarkEnd w:id="0"/>
    </w:p>
    <w:p>
      <w:pPr>
        <w:pStyle w:val="2"/>
        <w:adjustRightInd w:val="0"/>
        <w:snapToGrid w:val="0"/>
        <w:spacing w:line="800" w:lineRule="exact"/>
        <w:ind w:left="0" w:firstLine="0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spacing w:line="560" w:lineRule="exact"/>
        <w:ind w:left="0" w:firstLine="640" w:firstLineChars="20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sectPr>
      <w:headerReference r:id="rId3" w:type="default"/>
      <w:pgSz w:w="12240" w:h="15840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6148070" cy="7131050"/>
          <wp:effectExtent l="0" t="0" r="8890" b="1270"/>
          <wp:wrapNone/>
          <wp:docPr id="4" name="WordPictureWatermark34119" descr="广航大厦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4119" descr="广航大厦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8070" cy="713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NDUwMDFhOWExMmQ1YjhiYTljMGNkN2MyMjUzNWEifQ=="/>
  </w:docVars>
  <w:rsids>
    <w:rsidRoot w:val="005425A5"/>
    <w:rsid w:val="00025185"/>
    <w:rsid w:val="00030CBC"/>
    <w:rsid w:val="00031203"/>
    <w:rsid w:val="00047304"/>
    <w:rsid w:val="00063D76"/>
    <w:rsid w:val="00083EB2"/>
    <w:rsid w:val="00084397"/>
    <w:rsid w:val="00086373"/>
    <w:rsid w:val="000A2895"/>
    <w:rsid w:val="000B146F"/>
    <w:rsid w:val="000C2B2F"/>
    <w:rsid w:val="000C5D84"/>
    <w:rsid w:val="000C72C9"/>
    <w:rsid w:val="000C789C"/>
    <w:rsid w:val="00106CF5"/>
    <w:rsid w:val="00107012"/>
    <w:rsid w:val="001B1DEC"/>
    <w:rsid w:val="001D7F20"/>
    <w:rsid w:val="001E5F34"/>
    <w:rsid w:val="0021540F"/>
    <w:rsid w:val="00222850"/>
    <w:rsid w:val="00225972"/>
    <w:rsid w:val="00225F69"/>
    <w:rsid w:val="00230E76"/>
    <w:rsid w:val="00242F01"/>
    <w:rsid w:val="002701CA"/>
    <w:rsid w:val="0027282D"/>
    <w:rsid w:val="002A115E"/>
    <w:rsid w:val="002A244E"/>
    <w:rsid w:val="002A35E6"/>
    <w:rsid w:val="002E4C4C"/>
    <w:rsid w:val="00315F70"/>
    <w:rsid w:val="0035033F"/>
    <w:rsid w:val="0035190E"/>
    <w:rsid w:val="003560DB"/>
    <w:rsid w:val="00357704"/>
    <w:rsid w:val="00366114"/>
    <w:rsid w:val="00366234"/>
    <w:rsid w:val="003A1325"/>
    <w:rsid w:val="003C20BB"/>
    <w:rsid w:val="003C3137"/>
    <w:rsid w:val="003C44E1"/>
    <w:rsid w:val="003E34E7"/>
    <w:rsid w:val="00400F96"/>
    <w:rsid w:val="00407351"/>
    <w:rsid w:val="00426A07"/>
    <w:rsid w:val="00437B03"/>
    <w:rsid w:val="00440285"/>
    <w:rsid w:val="00441DF9"/>
    <w:rsid w:val="00450E13"/>
    <w:rsid w:val="00481C72"/>
    <w:rsid w:val="004947FD"/>
    <w:rsid w:val="004B0025"/>
    <w:rsid w:val="004B708A"/>
    <w:rsid w:val="004D079D"/>
    <w:rsid w:val="004D2384"/>
    <w:rsid w:val="004E0287"/>
    <w:rsid w:val="004E7812"/>
    <w:rsid w:val="004F3E03"/>
    <w:rsid w:val="00505383"/>
    <w:rsid w:val="00507391"/>
    <w:rsid w:val="00507681"/>
    <w:rsid w:val="00526ACF"/>
    <w:rsid w:val="005425A5"/>
    <w:rsid w:val="00546D27"/>
    <w:rsid w:val="0055175E"/>
    <w:rsid w:val="0057382B"/>
    <w:rsid w:val="005778B7"/>
    <w:rsid w:val="005B304B"/>
    <w:rsid w:val="005B5A53"/>
    <w:rsid w:val="005B6111"/>
    <w:rsid w:val="005C1DD7"/>
    <w:rsid w:val="00633F8E"/>
    <w:rsid w:val="0064339E"/>
    <w:rsid w:val="0065311C"/>
    <w:rsid w:val="00692C32"/>
    <w:rsid w:val="006959B6"/>
    <w:rsid w:val="006B5D7F"/>
    <w:rsid w:val="006C087A"/>
    <w:rsid w:val="006D28DC"/>
    <w:rsid w:val="006F38FB"/>
    <w:rsid w:val="00706A9D"/>
    <w:rsid w:val="007103B7"/>
    <w:rsid w:val="00717196"/>
    <w:rsid w:val="0073160A"/>
    <w:rsid w:val="00744C3A"/>
    <w:rsid w:val="00755B6C"/>
    <w:rsid w:val="00763F87"/>
    <w:rsid w:val="007936BC"/>
    <w:rsid w:val="007A2F6C"/>
    <w:rsid w:val="007A559E"/>
    <w:rsid w:val="007C0663"/>
    <w:rsid w:val="007D093F"/>
    <w:rsid w:val="007D76FF"/>
    <w:rsid w:val="007E1DD7"/>
    <w:rsid w:val="0080139C"/>
    <w:rsid w:val="008156C6"/>
    <w:rsid w:val="0081754E"/>
    <w:rsid w:val="008218B9"/>
    <w:rsid w:val="008249F6"/>
    <w:rsid w:val="008431F5"/>
    <w:rsid w:val="00861376"/>
    <w:rsid w:val="00862F32"/>
    <w:rsid w:val="00870C41"/>
    <w:rsid w:val="00887894"/>
    <w:rsid w:val="008B0173"/>
    <w:rsid w:val="008B028F"/>
    <w:rsid w:val="00901195"/>
    <w:rsid w:val="00901932"/>
    <w:rsid w:val="00913164"/>
    <w:rsid w:val="00914DE5"/>
    <w:rsid w:val="00923CF2"/>
    <w:rsid w:val="009275B9"/>
    <w:rsid w:val="00931146"/>
    <w:rsid w:val="00935EF7"/>
    <w:rsid w:val="009460DF"/>
    <w:rsid w:val="00953F3E"/>
    <w:rsid w:val="00994FC7"/>
    <w:rsid w:val="009A56DD"/>
    <w:rsid w:val="009B2EBA"/>
    <w:rsid w:val="009B3DCD"/>
    <w:rsid w:val="009C67B3"/>
    <w:rsid w:val="009D1E38"/>
    <w:rsid w:val="009E535D"/>
    <w:rsid w:val="009F3C4F"/>
    <w:rsid w:val="00A00445"/>
    <w:rsid w:val="00A00FB1"/>
    <w:rsid w:val="00A05282"/>
    <w:rsid w:val="00A25DB7"/>
    <w:rsid w:val="00A309A3"/>
    <w:rsid w:val="00A5493F"/>
    <w:rsid w:val="00A7068B"/>
    <w:rsid w:val="00AC0966"/>
    <w:rsid w:val="00AD133B"/>
    <w:rsid w:val="00AD6B4E"/>
    <w:rsid w:val="00AE1FCA"/>
    <w:rsid w:val="00AE6DED"/>
    <w:rsid w:val="00AF1FB6"/>
    <w:rsid w:val="00B1603D"/>
    <w:rsid w:val="00B33C11"/>
    <w:rsid w:val="00B74C63"/>
    <w:rsid w:val="00B84674"/>
    <w:rsid w:val="00B872F6"/>
    <w:rsid w:val="00BB7EAC"/>
    <w:rsid w:val="00BC5452"/>
    <w:rsid w:val="00BD02F0"/>
    <w:rsid w:val="00BD5FFF"/>
    <w:rsid w:val="00C2315F"/>
    <w:rsid w:val="00C23E09"/>
    <w:rsid w:val="00C509A8"/>
    <w:rsid w:val="00C54D75"/>
    <w:rsid w:val="00C632D8"/>
    <w:rsid w:val="00C84388"/>
    <w:rsid w:val="00CA3E6E"/>
    <w:rsid w:val="00CD586A"/>
    <w:rsid w:val="00CF313F"/>
    <w:rsid w:val="00D030BF"/>
    <w:rsid w:val="00D04486"/>
    <w:rsid w:val="00D2672F"/>
    <w:rsid w:val="00D32B4B"/>
    <w:rsid w:val="00D35D22"/>
    <w:rsid w:val="00D471C5"/>
    <w:rsid w:val="00D752EA"/>
    <w:rsid w:val="00D7574A"/>
    <w:rsid w:val="00D807FC"/>
    <w:rsid w:val="00D85366"/>
    <w:rsid w:val="00D87D86"/>
    <w:rsid w:val="00D90853"/>
    <w:rsid w:val="00D953D9"/>
    <w:rsid w:val="00DB2C68"/>
    <w:rsid w:val="00DD2B95"/>
    <w:rsid w:val="00DE1632"/>
    <w:rsid w:val="00DF0766"/>
    <w:rsid w:val="00DF088B"/>
    <w:rsid w:val="00DF57DD"/>
    <w:rsid w:val="00E03112"/>
    <w:rsid w:val="00E072FD"/>
    <w:rsid w:val="00E152A5"/>
    <w:rsid w:val="00E35F3C"/>
    <w:rsid w:val="00E45F7E"/>
    <w:rsid w:val="00E72614"/>
    <w:rsid w:val="00EA0E12"/>
    <w:rsid w:val="00EA713F"/>
    <w:rsid w:val="00EB46EA"/>
    <w:rsid w:val="00F0726A"/>
    <w:rsid w:val="00F6184C"/>
    <w:rsid w:val="00F8266B"/>
    <w:rsid w:val="00F970AA"/>
    <w:rsid w:val="00FA7407"/>
    <w:rsid w:val="00FB79BB"/>
    <w:rsid w:val="00FD0424"/>
    <w:rsid w:val="00FD2264"/>
    <w:rsid w:val="00FD5DA5"/>
    <w:rsid w:val="021E609A"/>
    <w:rsid w:val="02EF5A65"/>
    <w:rsid w:val="033C1FB5"/>
    <w:rsid w:val="038F66E4"/>
    <w:rsid w:val="040132F0"/>
    <w:rsid w:val="04364C0F"/>
    <w:rsid w:val="052C3E06"/>
    <w:rsid w:val="052F0F10"/>
    <w:rsid w:val="0532770A"/>
    <w:rsid w:val="05CF7901"/>
    <w:rsid w:val="06E65554"/>
    <w:rsid w:val="072F6A96"/>
    <w:rsid w:val="077F01A7"/>
    <w:rsid w:val="08DB321E"/>
    <w:rsid w:val="09900372"/>
    <w:rsid w:val="0A300AD6"/>
    <w:rsid w:val="0B051526"/>
    <w:rsid w:val="0B303197"/>
    <w:rsid w:val="0D7C0B76"/>
    <w:rsid w:val="0E1370A8"/>
    <w:rsid w:val="0EAF2AD2"/>
    <w:rsid w:val="0ED331EA"/>
    <w:rsid w:val="108C0E30"/>
    <w:rsid w:val="10BE5235"/>
    <w:rsid w:val="10F70C4E"/>
    <w:rsid w:val="123E007A"/>
    <w:rsid w:val="1293076E"/>
    <w:rsid w:val="14555FDF"/>
    <w:rsid w:val="14750F6A"/>
    <w:rsid w:val="14DB6671"/>
    <w:rsid w:val="153D38B6"/>
    <w:rsid w:val="15686D2B"/>
    <w:rsid w:val="17B9590A"/>
    <w:rsid w:val="18B44D01"/>
    <w:rsid w:val="18DE3E95"/>
    <w:rsid w:val="19622079"/>
    <w:rsid w:val="1C4B6B9E"/>
    <w:rsid w:val="1D4E286C"/>
    <w:rsid w:val="1DA70EBA"/>
    <w:rsid w:val="1E3357EA"/>
    <w:rsid w:val="1E672564"/>
    <w:rsid w:val="1F006CD6"/>
    <w:rsid w:val="20692516"/>
    <w:rsid w:val="222115E8"/>
    <w:rsid w:val="23274655"/>
    <w:rsid w:val="239D07E8"/>
    <w:rsid w:val="253A5B98"/>
    <w:rsid w:val="255454EB"/>
    <w:rsid w:val="26857E8A"/>
    <w:rsid w:val="27207479"/>
    <w:rsid w:val="27D378F2"/>
    <w:rsid w:val="2948430E"/>
    <w:rsid w:val="2A043F09"/>
    <w:rsid w:val="2A2169BC"/>
    <w:rsid w:val="2A840363"/>
    <w:rsid w:val="2BDE749B"/>
    <w:rsid w:val="2BE66AF8"/>
    <w:rsid w:val="2BF86124"/>
    <w:rsid w:val="2C9E5572"/>
    <w:rsid w:val="2DF91007"/>
    <w:rsid w:val="2E2D461C"/>
    <w:rsid w:val="2F223031"/>
    <w:rsid w:val="2F2422ED"/>
    <w:rsid w:val="2F286F84"/>
    <w:rsid w:val="303D4531"/>
    <w:rsid w:val="304E7DF3"/>
    <w:rsid w:val="30CB1405"/>
    <w:rsid w:val="30DD06B5"/>
    <w:rsid w:val="319A046F"/>
    <w:rsid w:val="31D36AF1"/>
    <w:rsid w:val="323A611F"/>
    <w:rsid w:val="350066B3"/>
    <w:rsid w:val="35304499"/>
    <w:rsid w:val="356E0D47"/>
    <w:rsid w:val="35C34243"/>
    <w:rsid w:val="366E71E6"/>
    <w:rsid w:val="372F40E0"/>
    <w:rsid w:val="379057A6"/>
    <w:rsid w:val="381A66C2"/>
    <w:rsid w:val="38324137"/>
    <w:rsid w:val="3A3E271C"/>
    <w:rsid w:val="3A666BFA"/>
    <w:rsid w:val="3AB95850"/>
    <w:rsid w:val="3AEF357E"/>
    <w:rsid w:val="3B5D3344"/>
    <w:rsid w:val="3B74490D"/>
    <w:rsid w:val="3BF43386"/>
    <w:rsid w:val="3CC1539A"/>
    <w:rsid w:val="3CEE244E"/>
    <w:rsid w:val="3DB85EB4"/>
    <w:rsid w:val="3DE64755"/>
    <w:rsid w:val="3E8A15AF"/>
    <w:rsid w:val="3E9E4E88"/>
    <w:rsid w:val="3F194DD6"/>
    <w:rsid w:val="3F7D0CD7"/>
    <w:rsid w:val="406E1E04"/>
    <w:rsid w:val="40D10707"/>
    <w:rsid w:val="42003361"/>
    <w:rsid w:val="42434503"/>
    <w:rsid w:val="430F7B0D"/>
    <w:rsid w:val="46D046B7"/>
    <w:rsid w:val="484D103A"/>
    <w:rsid w:val="490F63C0"/>
    <w:rsid w:val="49B83F7E"/>
    <w:rsid w:val="4A2363BE"/>
    <w:rsid w:val="4A762DCA"/>
    <w:rsid w:val="4AD84645"/>
    <w:rsid w:val="4AE10809"/>
    <w:rsid w:val="4C6A0A19"/>
    <w:rsid w:val="4C851997"/>
    <w:rsid w:val="4E371B09"/>
    <w:rsid w:val="4E805EF9"/>
    <w:rsid w:val="50B35EC2"/>
    <w:rsid w:val="50C77E1B"/>
    <w:rsid w:val="50E16F84"/>
    <w:rsid w:val="51417B2F"/>
    <w:rsid w:val="51530A49"/>
    <w:rsid w:val="53115257"/>
    <w:rsid w:val="54555F33"/>
    <w:rsid w:val="56D34841"/>
    <w:rsid w:val="56ED4FB6"/>
    <w:rsid w:val="5765279C"/>
    <w:rsid w:val="588E586E"/>
    <w:rsid w:val="5BA06C5A"/>
    <w:rsid w:val="5D3677B4"/>
    <w:rsid w:val="5D704F8C"/>
    <w:rsid w:val="5EAC294B"/>
    <w:rsid w:val="5EC8050D"/>
    <w:rsid w:val="5F37004F"/>
    <w:rsid w:val="5F641D35"/>
    <w:rsid w:val="609F6996"/>
    <w:rsid w:val="62CB6340"/>
    <w:rsid w:val="632B442E"/>
    <w:rsid w:val="64246707"/>
    <w:rsid w:val="64702AD3"/>
    <w:rsid w:val="66945B98"/>
    <w:rsid w:val="68CF6B7F"/>
    <w:rsid w:val="6926612E"/>
    <w:rsid w:val="69487A1D"/>
    <w:rsid w:val="69522A6B"/>
    <w:rsid w:val="6A605B16"/>
    <w:rsid w:val="6A664463"/>
    <w:rsid w:val="6C562949"/>
    <w:rsid w:val="6D043D20"/>
    <w:rsid w:val="6D4D1573"/>
    <w:rsid w:val="6D802D74"/>
    <w:rsid w:val="6E5B5561"/>
    <w:rsid w:val="701B7307"/>
    <w:rsid w:val="705A230A"/>
    <w:rsid w:val="70DA60AB"/>
    <w:rsid w:val="712A667C"/>
    <w:rsid w:val="7259405E"/>
    <w:rsid w:val="72935FEE"/>
    <w:rsid w:val="74B74CAE"/>
    <w:rsid w:val="74FC61C7"/>
    <w:rsid w:val="7538330B"/>
    <w:rsid w:val="76440A50"/>
    <w:rsid w:val="77302088"/>
    <w:rsid w:val="775348A6"/>
    <w:rsid w:val="79065BD8"/>
    <w:rsid w:val="79344CC8"/>
    <w:rsid w:val="79454175"/>
    <w:rsid w:val="796F1DC8"/>
    <w:rsid w:val="7A8650C5"/>
    <w:rsid w:val="7B936CF4"/>
    <w:rsid w:val="7BF053AA"/>
    <w:rsid w:val="7C1779E7"/>
    <w:rsid w:val="7CA628E4"/>
    <w:rsid w:val="7CC52C8D"/>
    <w:rsid w:val="7D33045E"/>
    <w:rsid w:val="7E5F4A29"/>
    <w:rsid w:val="7FA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unhideWhenUsed/>
    <w:qFormat/>
    <w:uiPriority w:val="0"/>
    <w:pPr>
      <w:spacing w:after="0"/>
      <w:ind w:left="360" w:firstLine="360"/>
    </w:pPr>
  </w:style>
  <w:style w:type="paragraph" w:styleId="3">
    <w:name w:val="Body Text Indent"/>
    <w:basedOn w:val="1"/>
    <w:link w:val="14"/>
    <w:unhideWhenUsed/>
    <w:qFormat/>
    <w:uiPriority w:val="99"/>
    <w:pPr>
      <w:spacing w:after="120"/>
      <w:ind w:left="283"/>
    </w:pPr>
  </w:style>
  <w:style w:type="paragraph" w:styleId="4">
    <w:name w:val="Balloon Text"/>
    <w:basedOn w:val="1"/>
    <w:link w:val="16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widowControl/>
      <w:tabs>
        <w:tab w:val="center" w:pos="4320"/>
        <w:tab w:val="right" w:pos="8640"/>
      </w:tabs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header"/>
    <w:basedOn w:val="1"/>
    <w:link w:val="12"/>
    <w:unhideWhenUsed/>
    <w:qFormat/>
    <w:uiPriority w:val="99"/>
    <w:pPr>
      <w:widowControl/>
      <w:tabs>
        <w:tab w:val="center" w:pos="4320"/>
        <w:tab w:val="right" w:pos="8640"/>
      </w:tabs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FollowedHyperlink"/>
    <w:basedOn w:val="9"/>
    <w:unhideWhenUsed/>
    <w:qFormat/>
    <w:uiPriority w:val="0"/>
    <w:rPr>
      <w:color w:val="800080"/>
      <w:u w:val="single"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</w:style>
  <w:style w:type="character" w:customStyle="1" w:styleId="13">
    <w:name w:val="页脚 Char"/>
    <w:basedOn w:val="9"/>
    <w:link w:val="5"/>
    <w:qFormat/>
    <w:uiPriority w:val="99"/>
  </w:style>
  <w:style w:type="character" w:customStyle="1" w:styleId="14">
    <w:name w:val="正文文本缩进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正文首行缩进 2 Char"/>
    <w:basedOn w:val="14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Microsoft YaHei UI" w:hAnsi="Times New Roman" w:eastAsia="Microsoft YaHei U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0947-D019-474F-93DF-86BF1EEA1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CCCCLTD</Company>
  <Pages>6</Pages>
  <Words>370</Words>
  <Characters>2111</Characters>
  <Lines>17</Lines>
  <Paragraphs>4</Paragraphs>
  <TotalTime>12</TotalTime>
  <ScaleCrop>false</ScaleCrop>
  <LinksUpToDate>false</LinksUpToDate>
  <CharactersWithSpaces>2477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2020-08-25T09:43:00Z</dcterms:created>
  <dc:creator> </dc:creator>
  <cp:lastModifiedBy>陈威龙</cp:lastModifiedBy>
  <dcterms:modified xsi:type="dcterms:W3CDTF">2023-05-08T02:11:49Z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DD8233B225FC4A1494828F1804AEDBC8</vt:lpwstr>
  </property>
</Properties>
</file>